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19 66 vom 14. Februar 2020</w:t>
      </w:r>
    </w:p>
    <w:p>
      <w:r>
        <w:t>VS Kantonsgericht, 2020-02-14, DE</w:t>
      </w:r>
    </w:p>
    <w:p>
      <w:r>
        <w:rPr>
          <w:b/>
        </w:rPr>
        <w:t xml:space="preserve">Quelle: </w:t>
      </w:r>
      <w:r>
        <w:t>https://mcp.opencaselaw.ch/entscheid/vs_gerichte_P1 19 66</w:t>
      </w:r>
    </w:p>
    <w:p>
      <w:r>
        <w:t>FR: VS_GERICHTE P1 19 66 du 14 février 2020</w:t>
      </w:r>
    </w:p>
    <w:p>
      <w:r>
        <w:t>IT: VS_GERICHTE P1 19 66 del 14 febbraio 2020</w:t>
      </w:r>
    </w:p>
    <w:p>
      <w:pPr>
        <w:pStyle w:val="Heading2"/>
      </w:pPr>
      <w:r>
        <w:t>Regeste</w:t>
      </w:r>
    </w:p>
    <w:p>
      <w:r>
        <w:t>P1 19 66 URTEIL VOM 14. FEBRUAR 2020 Kantonsgericht Wallis I. Strafrechtliche Abteilung Dr. Thierry Schnyder, Einzelrichter; Dr. Milan Kryka, Gerichtsschreiber in Sachen Staatsanwaltschaft des Kantons Wallis, Amt der Region Oberwallis, Berufungsbe- klagte vertreten durch Staatsanwalt Dominic Lehner, 3930 Visp gegen X _________, Beschuldigte, vertreten durch Rechtsanwalt M _________ (Betäubungsmittel) Berufung gegen das Urteil des Bezirksgerichts Leuk und Westlich-Raron vom 29. August 2019 [xxx S1 19 9]</w:t>
      </w:r>
    </w:p>
    <w:p>
      <w:pPr>
        <w:pStyle w:val="Heading2"/>
      </w:pPr>
      <w:r>
        <w:t>Erwägungen</w:t>
      </w:r>
    </w:p>
    <w:p>
      <w:r>
        <w:rPr>
          <w:b/>
        </w:rPr>
        <w:t>E. 23</w:t>
      </w:r>
    </w:p>
    <w:p>
      <w:r>
        <w:t>Oktober 2018 E. 3, SB140185 vom 9. Oktober 2014 E. 3 und SB130284 vom 13. März 2014 E. 3). 4.3 In der Lehre wird die vom Bundesgericht offengelassene Frage der blossen Nebendelikte unterschiedlich beantwortet. Ein Teil der Autoren ist der Ansicht, dass eine Ausnahmen von der Anwendung von Art. 19 BetmG bei Weitergabehandlungen nicht möglich sei (Hug-Beeli,</w:t>
      </w:r>
    </w:p>
    <w:p>
      <w:r>
        <w:t>330 RVJ / ZWR 2020 Betäubungsmittelgesetz [BetmG], Kommentar, 2016, N. 420 zu Art. 19a BetmG und Maurer in: Donatsch [Hrsg.], StGB / StG, Kommentar mit weiteren Erlassen und Kommentar zu den Strafbestimmungen des SVG, BetmG und AuG/AIG, 20. A., 2018, N. 2a zu Art. 19a BetmG). Auch die Doktrin, welche eine breitere Anwendung von Art. 19a BetmG, insbesondere auch für Delikte nach Art. 19 Abs. 2 BetmG, fordert, ist in ihren jüngsten Auflagen unter dem Eindruck der letzten Gesetzesre- visionen wieder von ihrer Haltung abgerückt (Fingerhut/Schlegel/ Jucker, BetmG, Kommentar, 3. A., 2016, N. 6 zu Art. 19a BetmG und Albrecht, Die Strafbestimmungen des Betäubungsmittelgesetzes [Art. 19-28l BetmG], 3. A., 2016, N. 25 f. zu Art. 19a BetmG). Diese angesprochene Gesetzesrevision ist die mit Bundesgesetz vom 20. März 2008 erfolgte und am 1. Juli 2011 in Kraft getretene Neufassung von Art. 19 BetmG, dessen Abs. 3 in lit. b eine Strafmin- derung nach freiem Ermessen vorsieht, wenn der Täter von Betäu- bungsmitteln abhängig ist und die Widerhandlung geben Abs. 2 nur zur Finanzierung seines eigenen Konsums dienen sollte. Damit wurde insbesondere das Verhältnis der Tatbestände von Art. 19 Abs. 2 zu Art. 19a BetmG geklärt, während das Verhältnis zu den Widerhand- lungen nach Art. 19 Abs. 1 BetmG keine Neuregelung erfahren hat. Insofern ist die bisherige Praxis und Lehre hierzu weiterhin anwendbar. 4.4 Die Berufung könnte in den Subsidiäranträgen nur dann gutge- heissen werden, wenn die angeklagte Tat im Sinne der durch das Bundesgericht offengelassenen Frage als blosses Nebendelikt be- trachtet werden könnte und die im zitierten Leitentscheid offengelas- sene Frage auch im Sinne der Berufungsklägerin zu beantworten wäre. 4.4.1 Das blosse Nebendelikt kann nach Auffassung des Kantons- gerichts nur dann gegeben sein, wenn sich die Weitergabehandlung in den weiteren Kontext eines Tatgeschehens einordnen lässt und in diesem Zusammenhang sowohl objektiv wie auch nach der Vorstellung des Täters eine bloss untergeordnete Bedeutung eingenommen hat. Diese darf somit nicht dem eigentlichen Tatziel entsprechen, und darf lediglich und ausschliesslich akzessorischen Charakter haben. Im vorliegenden Fall und im Unterschied zur publizierten Rechtspre- chung zu Provisionsversprechen ist nicht über den Vermittler C., sondern die Tippnehmerin zu urteilen. Deren Hauptintention bestand allein darin, einen neuen Lieferanten zu finden, um bei diesem Drogen zum Eigenkonsum erwerben zu können. Eine Weitergabe dieser</w:t>
      </w:r>
    </w:p>
    <w:p>
      <w:r>
        <w:t>RVJ / ZWR 2020 331 Drogen an C. stellte kein eigentliches Ziel ihres Bestrebens dar. Vielmehr entrichtete sie die Provision von 8 g, wie den Chat-Protokollen zu entnehmen ist, eher wider- als freiwillig, wobei allerdings nicht ausser Acht zu lassen ist, dass die Beschuldigte dieser Provision letztlich doch zugestimmt hat. Aus der Sicht von C. ging es in erster Linie darum, seine bisherige Handelsmarge neu als Provision einkas- sieren zu können. Dass er diese Provision in Form von Cannabis bean- spruchte, stellt aus seiner Warte eher eine Zahlungsmodalität dar, mit der es ihm möglich war, die Provisionszahlung für seine (ehemaligen) Kunden leichter verdaulich zu gestalten und sein Bereicherungsmotiv (teilweise) zu verschleiern. Es ist vorliegend nicht zu übersehen, dass die Beschuldigte, hätte sie C. in Franken und Rappen bezahlt, kein Verfahren wegen einer Widerhandlung gegen Art. 19 Abs. 1 BetmG hätte gewärtigen müssen. Die Abgabe einer Provision von 8 g an C. stellt sich in diesem Zusam- menhang lediglich als Nebenaspekt der eigentlichen Hauptintention, nämlich 100 g Cannabis zum eigenen Konsum zu erwerben, dar. Diese 8 g entsprechen weniger als 10% der eingekauften Menge und liegen unterhalb der Bagatellgrenze von Art. 19b Abs. 2 BetmG. Auch in diesem Sinne handelt es sich bei der Weitergabehandlung um ein blosses Nebendelikt zu einem Hauptdelikt. 4.4.2 Damit ist die vom Bundesgericht offengelassene Frage zu beantworten, ob in solchen Fällen eines echten Nebendelikts eine Anwendung von Art. 19a BetmG in Frage kommt. Nach Auffassung des Kantonsgerichts liegt die Antwort im Begriff des Nebendelikts. Dort wo die Weitergabehandlung als blosses Akzessorium in Erscheinung tritt, verringert sich im gleichen Ausmass der Unrechtsgehalt der Handlung. Entsprechend erweist es sich als unbillig, den Täter wegen eines Nebendelikts, welches nicht dem eigentlichen Tatziel entspricht und auch nicht einen unabdingbaren Teil davon dar-stellt, härter zu bestra- fen, als dies für die eigentliche Haupttat der Fall wäre. Entgegen der Ansicht von Hug Beeli (a.a.O., N. 420 zu Art. 19a BetmG) geht damit auch keine Gefährdung der Rechtssicherheit oder der öffentlichen Gesundheit einher, da in den Fällen des blossen Nebendelikts zu einer anderen unter Art. 19a BetmG zu subsumierenden Handlung regel- mässig nur ein Bagatellfall einer Weitergabehandlung vorliegen kann, ansonsten nicht nur von einem Nebendelikt gesprochen werden könnte. In diesen eng begrenzten Fällen können auch Motive der Prävention und des Gesundheitsschutzes kein überwiegendes Gewicht</w:t>
      </w:r>
    </w:p>
    <w:p>
      <w:r>
        <w:t>332 RVJ / ZWR 2020 mehr beanspruchen, da bei einer erheblichen Gesundheitsgefährdung auch nur weniger Menschen sich der Schluss auf ein blosses Neben- delikt verbietet. Im Ergebnis ist damit die Weitergabe von 8 g Cannabis als Provision beim Erwerb von 100 g Cannabis für den Eigenkonsum unter Art. 19a BetmG zu subsumieren und die Beschuldigte von der Widerhandlung gegen Art. 19 Abs. 1 BetmG freizusprechen.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